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26-316</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subrule 79.15(12)</w:t>
      </w:r>
    </w:p>
    <w:p>
      <w:pPr>
        <w:spacing w:before="0" w:after="0" w:line="480"/>
        <w:ind w:left="120"/>
        <w:jc w:val="center"/>
      </w:pPr>
      <w:r>
        <w:rPr>
          <w:rFonts w:ascii="Times New Roman" w:hAnsi="Times New Roman"/>
          <w:b w:val="false"/>
          <w:i w:val="false"/>
          <w:color w:val="000000"/>
          <w:sz w:val="24"/>
        </w:rPr>
        <w:t>“Other Policies Relating to Providers of Medical and Remedial Care”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249A</w:t>
      </w:r>
    </w:p>
    <w:p>
      <w:pPr>
        <w:spacing w:before="0" w:after="0" w:line="480"/>
        <w:ind w:left="120"/>
        <w:jc w:val="both"/>
      </w:pPr>
      <w:r>
        <w:rPr>
          <w:rFonts w:ascii="Times New Roman" w:hAnsi="Times New Roman"/>
          <w:b w:val="false"/>
          <w:i w:val="false"/>
          <w:color w:val="000000"/>
          <w:sz w:val="24"/>
        </w:rPr>
        <w:t>State or federal law(s) implemented by the rulemaking: Iowa Code chapter 249A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219 881 050 919 125</w:t>
            </w:r>
            <w:r>
              <w:br/>
            </w:r>
            <w:r>
              <w:rPr>
                <w:rFonts w:ascii="Times New Roman" w:hAnsi="Times New Roman"/>
                <w:b w:val="false"/>
                <w:i w:val="false"/>
                <w:color w:val="000000"/>
                <w:sz w:val="14"/>
              </w:rPr>
              <w:t xml:space="preserve">Passcode: DW7fd9aw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amends subrule 79.15(12) by changing the parameters for Iowa Medicaid provider validation and termination. The previous subrule indicated that Iowa Medicaid providers that have not submitted a claim in the past 24 months will be sent a notice asking if the provider wishes to continue participation in the Medicaid program. Providers that failed to respond within 30 calendar days were terminated from participation.</w:t>
      </w:r>
    </w:p>
    <w:p>
      <w:pPr>
        <w:spacing w:before="0" w:after="0" w:line="480"/>
        <w:ind w:left="120"/>
        <w:jc w:val="both"/>
      </w:pPr>
      <w:r>
        <w:rPr>
          <w:rFonts w:ascii="Times New Roman" w:hAnsi="Times New Roman"/>
          <w:b w:val="false"/>
          <w:i w:val="false"/>
          <w:color w:val="000000"/>
          <w:sz w:val="24"/>
        </w:rPr>
        <w:t>    As amended, the subrule states that providers that have not submitted a claim within the previous 12 months will be deactivated from participation in the Iowa Medicaid program. Deactivated providers may request reactivation by contacting the Department and meeting all applicable requirements. Providers that remain deactivated and do not submit any claims for 24 consecutive months following deactivation will be terminated from participation.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will benefit from this rulemaking because it supports Medicaid provider integrity and fiscal responsibility.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changes in this rulemaking will reduce the number of provider letters the Department has to send out by approximately 3,217. It will also allow the Department to avoid performing approximately 18,670 manual National Provider Identifier Standard (NPI) screenings.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this rulemaking because it supports Medicaid provider integrity and fiscal responsibility.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to support the direction of Centers for Medicare and Medicaid Services (CMS).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may have an impact on small business health care providers that have not submitted a claim to Iowa Medicaid in the last 12 months. Such providers may be deactivated from participation with Iowa Medicaid. The rulemaking provides an avenue for such providers to reactivate their participation.</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The content of this Regulatory Analysis was previously published as an Adopted and Filed Emergency rulemaking (see </w:t>
      </w:r>
      <w:r>
        <w:rPr>
          <w:rFonts w:ascii="Times New Roman" w:hAnsi="Times New Roman"/>
          <w:b/>
          <w:i w:val="false"/>
          <w:color w:val="000000"/>
          <w:sz w:val="24"/>
        </w:rPr>
        <w:t>ARC 0539D</w:t>
      </w:r>
      <w:r>
        <w:rPr>
          <w:rFonts w:ascii="Times New Roman" w:hAnsi="Times New Roman"/>
          <w:b w:val="false"/>
          <w:i w:val="false"/>
          <w:color w:val="000000"/>
          <w:sz w:val="24"/>
        </w:rPr>
        <w:t>, IAB 9/2/26). The purpose of this Regulatory Analysis is to fulfill the requirements of Iowa Code section 17A.4A for that emergency rulemaking, whose subject matter is hereby adopted by reference.</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